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DA314">
      <w:pPr>
        <w:spacing w:line="58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1032A5A0">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重庆外商服务有限公司简介</w:t>
      </w:r>
    </w:p>
    <w:p w14:paraId="5C020AC0">
      <w:pPr>
        <w:adjustRightInd w:val="0"/>
        <w:snapToGrid w:val="0"/>
        <w:spacing w:line="600" w:lineRule="exact"/>
        <w:ind w:firstLine="640" w:firstLineChars="200"/>
        <w:rPr>
          <w:rFonts w:ascii="Times New Roman" w:hAnsi="Times New Roman" w:eastAsia="方正仿宋_GBK" w:cs="Times New Roman"/>
          <w:sz w:val="32"/>
          <w:szCs w:val="32"/>
        </w:rPr>
      </w:pPr>
    </w:p>
    <w:p w14:paraId="7BC922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重庆外服成立于</w:t>
      </w:r>
      <w:r>
        <w:rPr>
          <w:rFonts w:hint="default" w:ascii="Times New Roman" w:hAnsi="Times New Roman" w:eastAsia="方正仿宋_GBK" w:cs="Times New Roman"/>
          <w:sz w:val="32"/>
          <w:szCs w:val="32"/>
          <w:lang w:val="en-US" w:eastAsia="zh-CN"/>
        </w:rPr>
        <w:t>1989</w:t>
      </w:r>
      <w:r>
        <w:rPr>
          <w:rFonts w:hint="eastAsia" w:ascii="方正仿宋_GBK" w:hAnsi="方正仿宋_GBK" w:eastAsia="方正仿宋_GBK" w:cs="方正仿宋_GBK"/>
          <w:sz w:val="32"/>
          <w:szCs w:val="32"/>
          <w:lang w:val="en-US" w:eastAsia="zh-CN"/>
        </w:rPr>
        <w:t>年，现隶属于重庆发展投资有限公司，系重庆人力资源发展有限公司旗下全资国有企业。主业聚焦外资外企人力资源服务、海外和国内高端人才引进、国际人才交流、对外劳务合作、中资企业出海人力资源服务、外籍人士和高端客群个性化服务等涉外人力资源综合服务，致力于打造“西部外资外企一站式服务平台”“西部涉外人力资源服务基地”“西部高净值客群涉外服务平台”，努力发展成为极具重庆辨识度的西部涉外人力资源服务领军企业。我们秉承“始于而不止于人力资源服务”的理念，是您值得信赖的全球人力资源合作伙伴。</w:t>
      </w:r>
    </w:p>
    <w:p w14:paraId="7108593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外服是中国对外服务工作行业协会副会长单位、重庆市人才研究和人力资源服务协会副会长单位、国家级人力资源服务出口基地共建单位、首批“全国人力资源诚信示范单位”、重庆市人力资源服务助力制造业高质量发展优秀单位、重庆市十佳人力资源服务机构、重庆市人力资源服务机构十强、重庆市人力资源服务业骨干企业、重庆市</w:t>
      </w:r>
      <w:r>
        <w:rPr>
          <w:rFonts w:hint="default" w:ascii="Times New Roman" w:hAnsi="Times New Roman" w:eastAsia="方正仿宋_GBK" w:cs="Times New Roman"/>
          <w:sz w:val="32"/>
          <w:szCs w:val="32"/>
          <w:lang w:val="en-US" w:eastAsia="zh-CN"/>
        </w:rPr>
        <w:t>5A</w:t>
      </w:r>
      <w:r>
        <w:rPr>
          <w:rFonts w:hint="eastAsia" w:ascii="方正仿宋_GBK" w:hAnsi="方正仿宋_GBK" w:eastAsia="方正仿宋_GBK" w:cs="方正仿宋_GBK"/>
          <w:sz w:val="32"/>
          <w:szCs w:val="32"/>
          <w:lang w:val="en-US" w:eastAsia="zh-CN"/>
        </w:rPr>
        <w:t>级人力资源服务机构、重庆市守合同重信用单位、重庆市人力资源诚信服务示范机构等。</w:t>
      </w:r>
    </w:p>
    <w:p w14:paraId="077B714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重庆外服具有完备的经营服务资质，通过了</w:t>
      </w:r>
      <w:r>
        <w:rPr>
          <w:rFonts w:hint="default" w:ascii="Times New Roman" w:hAnsi="Times New Roman" w:eastAsia="方正仿宋_GBK" w:cs="Times New Roman"/>
          <w:sz w:val="32"/>
          <w:szCs w:val="32"/>
          <w:lang w:val="en-US" w:eastAsia="zh-CN"/>
        </w:rPr>
        <w:t>ISO9001:2015</w:t>
      </w:r>
      <w:r>
        <w:rPr>
          <w:rFonts w:hint="eastAsia" w:ascii="方正仿宋_GBK" w:hAnsi="方正仿宋_GBK" w:eastAsia="方正仿宋_GBK" w:cs="方正仿宋_GBK"/>
          <w:sz w:val="32"/>
          <w:szCs w:val="32"/>
          <w:lang w:val="en-US" w:eastAsia="zh-CN"/>
        </w:rPr>
        <w:t>质量管理体系、</w:t>
      </w:r>
      <w:r>
        <w:rPr>
          <w:rFonts w:hint="eastAsia" w:ascii="Times New Roman" w:hAnsi="Times New Roman" w:eastAsia="方正仿宋_GBK" w:cs="Times New Roman"/>
          <w:sz w:val="32"/>
          <w:szCs w:val="32"/>
          <w:lang w:val="en-US" w:eastAsia="zh-CN"/>
        </w:rPr>
        <w:t>ISO27001:2022</w:t>
      </w:r>
      <w:r>
        <w:rPr>
          <w:rFonts w:hint="eastAsia" w:ascii="方正仿宋_GBK" w:hAnsi="方正仿宋_GBK" w:eastAsia="方正仿宋_GBK" w:cs="方正仿宋_GBK"/>
          <w:sz w:val="32"/>
          <w:szCs w:val="32"/>
          <w:lang w:val="en-US" w:eastAsia="zh-CN"/>
        </w:rPr>
        <w:t>信息安全管理体系、</w:t>
      </w:r>
      <w:r>
        <w:rPr>
          <w:rFonts w:hint="eastAsia" w:ascii="Times New Roman" w:hAnsi="Times New Roman" w:eastAsia="方正仿宋_GBK" w:cs="Times New Roman"/>
          <w:sz w:val="32"/>
          <w:szCs w:val="32"/>
          <w:lang w:val="en-US" w:eastAsia="zh-CN"/>
        </w:rPr>
        <w:t>ISO45001:2018</w:t>
      </w:r>
      <w:r>
        <w:rPr>
          <w:rFonts w:hint="eastAsia" w:ascii="方正仿宋_GBK" w:hAnsi="方正仿宋_GBK" w:eastAsia="方正仿宋_GBK" w:cs="方正仿宋_GBK"/>
          <w:sz w:val="32"/>
          <w:szCs w:val="32"/>
          <w:lang w:val="en-US" w:eastAsia="zh-CN"/>
        </w:rPr>
        <w:t>职业健康安全管理体系、</w:t>
      </w:r>
      <w:r>
        <w:rPr>
          <w:rFonts w:hint="eastAsia" w:ascii="Times New Roman" w:hAnsi="Times New Roman" w:eastAsia="方正仿宋_GBK" w:cs="Times New Roman"/>
          <w:sz w:val="32"/>
          <w:szCs w:val="32"/>
          <w:lang w:val="en-US" w:eastAsia="zh-CN"/>
        </w:rPr>
        <w:t>ISO14001:2015</w:t>
      </w:r>
      <w:r>
        <w:rPr>
          <w:rFonts w:hint="eastAsia" w:ascii="方正仿宋_GBK" w:hAnsi="方正仿宋_GBK" w:eastAsia="方正仿宋_GBK" w:cs="方正仿宋_GBK"/>
          <w:sz w:val="32"/>
          <w:szCs w:val="32"/>
          <w:lang w:val="en-US" w:eastAsia="zh-CN"/>
        </w:rPr>
        <w:t>环境管理体系、</w:t>
      </w:r>
      <w:r>
        <w:rPr>
          <w:rFonts w:hint="eastAsia" w:ascii="Times New Roman" w:hAnsi="Times New Roman" w:eastAsia="方正仿宋_GBK" w:cs="Times New Roman"/>
          <w:sz w:val="32"/>
          <w:szCs w:val="32"/>
          <w:lang w:val="en-US" w:eastAsia="zh-CN"/>
        </w:rPr>
        <w:t>GB/T31950-2023</w:t>
      </w:r>
      <w:r>
        <w:rPr>
          <w:rFonts w:hint="eastAsia" w:ascii="方正仿宋_GBK" w:hAnsi="方正仿宋_GBK" w:eastAsia="方正仿宋_GBK" w:cs="方正仿宋_GBK"/>
          <w:sz w:val="32"/>
          <w:szCs w:val="32"/>
          <w:lang w:val="en-US" w:eastAsia="zh-CN"/>
        </w:rPr>
        <w:t>企业诚信管理体系认证；取得了人力资源服务许可证、劳务派遣经营许可证、对外劳务合作经营资格证书、代理记账许可证书，拥有水、电、天然气基础业务外包、物业服务、重庆公安出入境移民事务服务站、重庆市高校毕业生就业实习基地等资质。</w:t>
      </w:r>
    </w:p>
    <w:p w14:paraId="767F3ADA">
      <w:pPr>
        <w:pStyle w:val="3"/>
      </w:pPr>
    </w:p>
    <w:p w14:paraId="393C590C">
      <w:pPr>
        <w:rPr>
          <w:rFonts w:ascii="Times New Roman" w:hAnsi="Times New Roman" w:cs="Times New Roman"/>
        </w:rPr>
      </w:pPr>
    </w:p>
    <w:p w14:paraId="40D7FCAF">
      <w:pPr>
        <w:rPr>
          <w:rFonts w:ascii="Times New Roman" w:hAnsi="Times New Roman" w:cs="Times New Roman"/>
        </w:rPr>
      </w:pPr>
    </w:p>
    <w:p w14:paraId="241DEF72">
      <w:pPr>
        <w:rPr>
          <w:rFonts w:ascii="Times New Roman" w:hAnsi="Times New Roman" w:cs="Times New Roman"/>
        </w:rPr>
      </w:pPr>
    </w:p>
    <w:p w14:paraId="48CCC973">
      <w:pPr>
        <w:rPr>
          <w:rFonts w:ascii="Times New Roman" w:hAnsi="Times New Roman" w:cs="Times New Roman"/>
        </w:rPr>
      </w:pPr>
    </w:p>
    <w:p w14:paraId="6D6EAD64">
      <w:pPr>
        <w:rPr>
          <w:rFonts w:ascii="Times New Roman" w:hAnsi="Times New Roman" w:cs="Times New Roman"/>
        </w:rPr>
      </w:pPr>
    </w:p>
    <w:p w14:paraId="0DEC8FFE">
      <w:pPr>
        <w:rPr>
          <w:rFonts w:ascii="Times New Roman" w:hAnsi="Times New Roman" w:cs="Times New Roman"/>
        </w:rPr>
      </w:pPr>
    </w:p>
    <w:p w14:paraId="30FBFBD9">
      <w:pPr>
        <w:rPr>
          <w:rFonts w:ascii="Times New Roman" w:hAnsi="Times New Roman" w:cs="Times New Roman"/>
        </w:rPr>
      </w:pPr>
    </w:p>
    <w:p w14:paraId="1D8C12E3">
      <w:pPr>
        <w:rPr>
          <w:rFonts w:ascii="Times New Roman" w:hAnsi="Times New Roman" w:cs="Times New Roman"/>
        </w:rPr>
      </w:pPr>
    </w:p>
    <w:p w14:paraId="14C03880">
      <w:pPr>
        <w:rPr>
          <w:rFonts w:ascii="Times New Roman" w:hAnsi="Times New Roman" w:cs="Times New Roman"/>
        </w:rPr>
      </w:pPr>
    </w:p>
    <w:p w14:paraId="086CBE54">
      <w:pPr>
        <w:rPr>
          <w:rFonts w:ascii="Times New Roman" w:hAnsi="Times New Roman" w:cs="Times New Roman"/>
        </w:rPr>
      </w:pPr>
    </w:p>
    <w:p w14:paraId="7BE531F9">
      <w:pPr>
        <w:rPr>
          <w:rFonts w:ascii="Times New Roman" w:hAnsi="Times New Roman" w:cs="Times New Roman"/>
        </w:rPr>
      </w:pPr>
    </w:p>
    <w:p w14:paraId="7D5B3907">
      <w:pPr>
        <w:rPr>
          <w:rFonts w:ascii="Times New Roman" w:hAnsi="Times New Roman" w:cs="Times New Roman"/>
        </w:rPr>
      </w:pPr>
    </w:p>
    <w:p w14:paraId="717E49FE">
      <w:pPr>
        <w:rPr>
          <w:rFonts w:ascii="Times New Roman" w:hAnsi="Times New Roman" w:cs="Times New Roman"/>
        </w:rPr>
      </w:pPr>
    </w:p>
    <w:p w14:paraId="30D7F0EF">
      <w:pPr>
        <w:rPr>
          <w:rFonts w:ascii="Times New Roman" w:hAnsi="Times New Roman" w:cs="Times New Roman"/>
        </w:rPr>
      </w:pPr>
    </w:p>
    <w:p w14:paraId="656F3D31">
      <w:pPr>
        <w:rPr>
          <w:rFonts w:ascii="Times New Roman" w:hAnsi="Times New Roman" w:cs="Times New Roman"/>
        </w:rPr>
      </w:pPr>
    </w:p>
    <w:p w14:paraId="5DB9196E">
      <w:pPr>
        <w:rPr>
          <w:rFonts w:ascii="Times New Roman" w:hAnsi="Times New Roman" w:cs="Times New Roman"/>
        </w:rPr>
      </w:pPr>
    </w:p>
    <w:p w14:paraId="62A18325">
      <w:pPr>
        <w:rPr>
          <w:rFonts w:ascii="Times New Roman" w:hAnsi="Times New Roman" w:cs="Times New Roman"/>
        </w:rPr>
      </w:pPr>
    </w:p>
    <w:p w14:paraId="250AE6FB">
      <w:pPr>
        <w:rPr>
          <w:rFonts w:ascii="Times New Roman" w:hAnsi="Times New Roman" w:cs="Times New Roman"/>
        </w:rPr>
      </w:pPr>
    </w:p>
    <w:p w14:paraId="5194C1EF">
      <w:pPr>
        <w:rPr>
          <w:rFonts w:ascii="Times New Roman" w:hAnsi="Times New Roman" w:cs="Times New Roman"/>
        </w:rPr>
      </w:pPr>
    </w:p>
    <w:p w14:paraId="217CCAA5">
      <w:pPr>
        <w:rPr>
          <w:rFonts w:ascii="Times New Roman" w:hAnsi="Times New Roman" w:cs="Times New Roman"/>
        </w:rPr>
      </w:pPr>
    </w:p>
    <w:p w14:paraId="6CD8D1E7">
      <w:pPr>
        <w:rPr>
          <w:rFonts w:ascii="Times New Roman" w:hAnsi="Times New Roman" w:cs="Times New Roman"/>
        </w:rPr>
      </w:pPr>
    </w:p>
    <w:p w14:paraId="126FDE04">
      <w:pPr>
        <w:rPr>
          <w:rFonts w:ascii="Times New Roman" w:hAnsi="Times New Roman" w:cs="Times New Roman"/>
        </w:rPr>
      </w:pPr>
    </w:p>
    <w:p w14:paraId="26ABA70C">
      <w:pPr>
        <w:rPr>
          <w:rFonts w:ascii="Times New Roman" w:hAnsi="Times New Roman" w:cs="Times New Roman"/>
        </w:rPr>
      </w:pPr>
    </w:p>
    <w:p w14:paraId="6E11BF87">
      <w:pPr>
        <w:rPr>
          <w:rFonts w:ascii="Times New Roman" w:hAnsi="Times New Roman" w:cs="Times New Roman"/>
        </w:rPr>
      </w:pPr>
    </w:p>
    <w:p w14:paraId="7016F93D">
      <w:pPr>
        <w:rPr>
          <w:rFonts w:ascii="Times New Roman" w:hAnsi="Times New Roman" w:cs="Times New Roman"/>
        </w:rPr>
      </w:pPr>
    </w:p>
    <w:p w14:paraId="3C949A20">
      <w:pPr>
        <w:rPr>
          <w:rFonts w:ascii="Times New Roman" w:hAnsi="Times New Roman" w:cs="Times New Roman"/>
        </w:rPr>
      </w:pPr>
    </w:p>
    <w:p w14:paraId="66C92217">
      <w:pPr>
        <w:rPr>
          <w:rFonts w:ascii="Times New Roman" w:hAnsi="Times New Roman" w:cs="Times New Roman"/>
        </w:rPr>
      </w:pPr>
    </w:p>
    <w:p w14:paraId="0D7D55AF">
      <w:pPr>
        <w:rPr>
          <w:rFonts w:ascii="Times New Roman" w:hAnsi="Times New Roman" w:cs="Times New Roman"/>
        </w:rPr>
      </w:pPr>
    </w:p>
    <w:p w14:paraId="5CD1A4A5">
      <w:pPr>
        <w:rPr>
          <w:rFonts w:ascii="Times New Roman" w:hAnsi="Times New Roman" w:cs="Times New Roman"/>
        </w:rPr>
      </w:pPr>
    </w:p>
    <w:p w14:paraId="0077926C">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重庆市子漫人力资源服务有限公司简介</w:t>
      </w:r>
    </w:p>
    <w:p w14:paraId="4742A57B">
      <w:pPr>
        <w:spacing w:line="580" w:lineRule="exact"/>
        <w:jc w:val="center"/>
        <w:rPr>
          <w:rFonts w:ascii="Times New Roman" w:hAnsi="Times New Roman" w:eastAsia="方正小标宋_GBK" w:cs="Times New Roman"/>
          <w:sz w:val="44"/>
          <w:szCs w:val="44"/>
        </w:rPr>
      </w:pPr>
    </w:p>
    <w:p w14:paraId="0C027DAD">
      <w:pPr>
        <w:spacing w:line="58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子漫人力资源服务有限公司是重庆人力资源发展有限公司全资子公司，成立于2005年，员工1000余人。主要为客户提供康养家政综合服务、医疗卫生人力资源及综合后勤服务、企业安全预防管控综合服务。获批重庆市高技能人才培训基地，先后获得“重庆市十佳人力资源服务机构”“高成长型机构”“A 级纳税企业”、2024年度重庆市人力资源服务行业“诚信模范单位”等荣誉8项，并通过了ISO9001、ISO14001、ISO45001质量体系认证，是中西部地区极具影响力的专业性人力资源服务机构。</w:t>
      </w:r>
    </w:p>
    <w:p w14:paraId="525FEB55">
      <w:pPr>
        <w:spacing w:line="580" w:lineRule="exact"/>
        <w:jc w:val="left"/>
        <w:rPr>
          <w:rFonts w:ascii="Times New Roman" w:hAnsi="Times New Roman" w:eastAsia="方正黑体_GBK" w:cs="Times New Roman"/>
          <w:sz w:val="32"/>
          <w:szCs w:val="32"/>
        </w:rPr>
      </w:pPr>
    </w:p>
    <w:p w14:paraId="53978AAE">
      <w:pPr>
        <w:spacing w:line="580" w:lineRule="exact"/>
        <w:jc w:val="left"/>
        <w:rPr>
          <w:rFonts w:ascii="Times New Roman" w:hAnsi="Times New Roman" w:eastAsia="方正黑体_GBK" w:cs="Times New Roman"/>
          <w:sz w:val="32"/>
          <w:szCs w:val="32"/>
        </w:rPr>
      </w:pPr>
    </w:p>
    <w:p w14:paraId="007007B1">
      <w:pPr>
        <w:spacing w:line="580" w:lineRule="exact"/>
        <w:jc w:val="left"/>
        <w:rPr>
          <w:rFonts w:ascii="Times New Roman" w:hAnsi="Times New Roman" w:eastAsia="方正黑体_GBK" w:cs="Times New Roman"/>
          <w:sz w:val="32"/>
          <w:szCs w:val="32"/>
        </w:rPr>
      </w:pPr>
    </w:p>
    <w:p w14:paraId="488ACF21">
      <w:pPr>
        <w:spacing w:line="580" w:lineRule="exact"/>
        <w:jc w:val="left"/>
        <w:rPr>
          <w:rFonts w:ascii="Times New Roman" w:hAnsi="Times New Roman" w:eastAsia="方正黑体_GBK" w:cs="Times New Roman"/>
          <w:sz w:val="32"/>
          <w:szCs w:val="32"/>
        </w:rPr>
      </w:pPr>
    </w:p>
    <w:p w14:paraId="4DE850C6">
      <w:pPr>
        <w:spacing w:line="580" w:lineRule="exact"/>
        <w:jc w:val="left"/>
        <w:rPr>
          <w:rFonts w:ascii="Times New Roman" w:hAnsi="Times New Roman" w:eastAsia="方正黑体_GBK" w:cs="Times New Roman"/>
          <w:sz w:val="32"/>
          <w:szCs w:val="32"/>
        </w:rPr>
      </w:pPr>
    </w:p>
    <w:p w14:paraId="4B34FE39">
      <w:pPr>
        <w:spacing w:line="580" w:lineRule="exact"/>
        <w:jc w:val="left"/>
        <w:rPr>
          <w:rFonts w:ascii="Times New Roman" w:hAnsi="Times New Roman" w:eastAsia="方正黑体_GBK" w:cs="Times New Roman"/>
          <w:sz w:val="32"/>
          <w:szCs w:val="32"/>
        </w:rPr>
      </w:pPr>
    </w:p>
    <w:p w14:paraId="7F8F31A1">
      <w:pPr>
        <w:spacing w:line="580" w:lineRule="exact"/>
        <w:jc w:val="left"/>
        <w:rPr>
          <w:rFonts w:ascii="Times New Roman" w:hAnsi="Times New Roman" w:eastAsia="方正黑体_GBK" w:cs="Times New Roman"/>
          <w:sz w:val="32"/>
          <w:szCs w:val="32"/>
        </w:rPr>
      </w:pPr>
    </w:p>
    <w:p w14:paraId="4F86831C">
      <w:pPr>
        <w:spacing w:line="580" w:lineRule="exact"/>
        <w:jc w:val="left"/>
        <w:rPr>
          <w:rFonts w:ascii="Times New Roman" w:hAnsi="Times New Roman" w:eastAsia="方正黑体_GBK" w:cs="Times New Roman"/>
          <w:sz w:val="32"/>
          <w:szCs w:val="32"/>
        </w:rPr>
      </w:pPr>
    </w:p>
    <w:p w14:paraId="20689AF2">
      <w:pPr>
        <w:spacing w:line="580" w:lineRule="exact"/>
        <w:jc w:val="left"/>
        <w:rPr>
          <w:rFonts w:ascii="Times New Roman" w:hAnsi="Times New Roman" w:eastAsia="方正黑体_GBK" w:cs="Times New Roman"/>
          <w:sz w:val="32"/>
          <w:szCs w:val="32"/>
        </w:rPr>
      </w:pPr>
    </w:p>
    <w:p w14:paraId="2DE49D3A">
      <w:pPr>
        <w:spacing w:line="580" w:lineRule="exact"/>
        <w:jc w:val="left"/>
        <w:rPr>
          <w:rFonts w:ascii="Times New Roman" w:hAnsi="Times New Roman" w:eastAsia="方正黑体_GBK" w:cs="Times New Roman"/>
          <w:sz w:val="32"/>
          <w:szCs w:val="32"/>
        </w:rPr>
      </w:pPr>
    </w:p>
    <w:p w14:paraId="0EE7C8CC">
      <w:pPr>
        <w:spacing w:line="580" w:lineRule="exact"/>
        <w:jc w:val="left"/>
        <w:rPr>
          <w:rFonts w:ascii="Times New Roman" w:hAnsi="Times New Roman" w:eastAsia="方正黑体_GBK" w:cs="Times New Roman"/>
          <w:sz w:val="32"/>
          <w:szCs w:val="32"/>
        </w:rPr>
      </w:pPr>
    </w:p>
    <w:p w14:paraId="7A9E8920">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重庆汇人数智科技有限公司简介</w:t>
      </w:r>
    </w:p>
    <w:p w14:paraId="5C0C757A">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14:paraId="5EDABDC6">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重庆汇人数智科技有限公司</w:t>
      </w:r>
      <w:r>
        <w:rPr>
          <w:rFonts w:hint="eastAsia" w:ascii="Times New Roman" w:hAnsi="Times New Roman" w:eastAsia="方正仿宋_GBK" w:cs="Times New Roman"/>
          <w:sz w:val="32"/>
          <w:szCs w:val="32"/>
        </w:rPr>
        <w:t>由重庆市重点产业人力资源集团有限公司更名而来，</w:t>
      </w:r>
      <w:r>
        <w:rPr>
          <w:rFonts w:ascii="Times New Roman" w:hAnsi="Times New Roman" w:eastAsia="方正仿宋_GBK" w:cs="Times New Roman"/>
          <w:sz w:val="32"/>
          <w:szCs w:val="32"/>
        </w:rPr>
        <w:t>是一家聚焦人力资源与科技创新深度融合的企业。公司以“汇数聚人，赋业为民”为服务宗旨，依托国家级博士后科研工作站平台，深度融合大数据、人工智能、元宇宙、数字孪生等前沿技术，构建“人力资源+科技”“应用场景+技术”“数智产品+运营”的一站式服务架构，打造覆盖技术开发、数据服务、政务研发、产品运营、网络安防、课题研究的全链条数字化解决方案。公司坚持“人才强企”战略，汇聚大数据、信息技术、人工智能等领域高端人才，努力成为人力资源新质生产力研发中心，以“大数据+铁脚板”的服务模式深度链接政企资源，推动人才“近悦远来”、数据“融合发展”，持续拓展数智政务、人力资源人工智能、智慧会展会务等新兴场景，为重庆人力资源行业发展提供科技支撑和智慧动能。</w:t>
      </w:r>
    </w:p>
    <w:p w14:paraId="169C2F6F">
      <w:pPr>
        <w:spacing w:line="580" w:lineRule="exact"/>
        <w:ind w:firstLine="640" w:firstLineChars="200"/>
        <w:rPr>
          <w:rFonts w:ascii="Times New Roman" w:hAnsi="Times New Roman" w:eastAsia="方正仿宋_GBK" w:cs="Times New Roman"/>
          <w:sz w:val="32"/>
          <w:szCs w:val="32"/>
        </w:rPr>
      </w:pPr>
    </w:p>
    <w:p w14:paraId="63CBB88B">
      <w:pPr>
        <w:spacing w:line="580" w:lineRule="exact"/>
        <w:rPr>
          <w:rFonts w:ascii="Times New Roman" w:hAnsi="Times New Roman" w:eastAsia="方正黑体_GBK" w:cs="Times New Roman"/>
          <w:sz w:val="32"/>
          <w:szCs w:val="32"/>
        </w:rPr>
        <w:sectPr>
          <w:headerReference r:id="rId3" w:type="default"/>
          <w:footerReference r:id="rId4" w:type="default"/>
          <w:footerReference r:id="rId5" w:type="even"/>
          <w:pgSz w:w="11905" w:h="16838"/>
          <w:pgMar w:top="1985" w:right="1446" w:bottom="1474" w:left="1446" w:header="340" w:footer="454" w:gutter="0"/>
          <w:cols w:space="0" w:num="1"/>
          <w:docGrid w:type="linesAndChars" w:linePitch="324" w:charSpace="0"/>
        </w:sectPr>
      </w:pPr>
    </w:p>
    <w:p w14:paraId="2025D0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182A">
    <w:pPr>
      <w:pStyle w:val="4"/>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1898733567"/>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sdtContent>
    </w:sdt>
  </w:p>
  <w:p w14:paraId="06E2BDB1">
    <w:pPr>
      <w:tabs>
        <w:tab w:val="left" w:pos="424"/>
      </w:tabs>
      <w:snapToGrid w:val="0"/>
      <w:spacing w:after="160" w:line="560" w:lineRule="exact"/>
      <w:jc w:val="left"/>
      <w:rPr>
        <w:rFonts w:ascii="等线" w:hAnsi="等线" w:eastAsia="方正仿宋_GBK"/>
        <w:sz w:val="18"/>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20643"/>
      <w:docPartObj>
        <w:docPartGallery w:val="autotext"/>
      </w:docPartObj>
    </w:sdtPr>
    <w:sdtEndPr>
      <w:rPr>
        <w:rFonts w:asciiTheme="minorEastAsia" w:hAnsiTheme="minorEastAsia" w:eastAsiaTheme="minorEastAsia"/>
        <w:sz w:val="28"/>
        <w:szCs w:val="28"/>
      </w:rPr>
    </w:sdtEndPr>
    <w:sdtContent>
      <w:p w14:paraId="181A94FE">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p w14:paraId="7F1EDB6F">
        <w:pPr>
          <w:pStyle w:val="4"/>
          <w:rPr>
            <w:rFonts w:asciiTheme="minorEastAsia" w:hAnsiTheme="minorEastAsia" w:eastAsiaTheme="minorEastAsia"/>
            <w:sz w:val="28"/>
            <w:szCs w:val="28"/>
          </w:rPr>
        </w:pPr>
      </w:p>
      <w:p w14:paraId="711E3161">
        <w:pPr>
          <w:pStyle w:val="4"/>
          <w:rPr>
            <w:rFonts w:hint="eastAsia" w:asciiTheme="minorEastAsia" w:hAnsiTheme="minorEastAsia" w:eastAsiaTheme="minorEastAsia"/>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148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A6733"/>
    <w:rsid w:val="3B3A6733"/>
    <w:rsid w:val="429E04C2"/>
    <w:rsid w:val="70F8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240" w:lineRule="auto"/>
      <w:ind w:firstLine="643" w:firstLineChars="200"/>
      <w:outlineLvl w:val="1"/>
    </w:pPr>
    <w:rPr>
      <w:rFonts w:ascii="Arial" w:hAnsi="Arial" w:eastAsia="方正仿宋_GBK"/>
      <w:sz w:val="32"/>
    </w:rPr>
  </w:style>
  <w:style w:type="paragraph" w:styleId="3">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customStyle="1" w:styleId="8">
    <w:name w:val="官网正文"/>
    <w:basedOn w:val="1"/>
    <w:uiPriority w:val="0"/>
    <w:pPr>
      <w:ind w:firstLine="640" w:firstLineChars="200"/>
    </w:pPr>
    <w:rPr>
      <w:rFonts w:hint="eastAsia" w:ascii="方正仿宋_GBK" w:hAnsi="方正仿宋_GBK" w:eastAsia="方正仿宋_GBK" w:cs="方正仿宋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2025-04-18T07:07:00Z</dcterms:created>
  <dc:creator>释水</dc:creator>
  <cp:lastModifiedBy>释水</cp:lastModifiedBy>
  <dcterms:modified xsi:type="dcterms:W3CDTF">2025-04-18T07:08:08Z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9C9C4CD481034049A9BCABE9A1EF5522_11</vt:lpwstr>
  </property>
  <property fmtid="{D5CDD505-2E9C-101B-9397-08002B2CF9AE}" pid="4" name="KSOTemplateDocerSaveRecord">
    <vt:lpwstr>eyJoZGlkIjoiZGIxMzFjZTk4ZWYwYTM1NTQ1YTEyY2UwMGQyN2MwMDEiLCJ1c2VySWQiOiI3NDg0MjY3MzgifQ==</vt:lpwstr>
  </property>
</Properties>
</file>