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eastAsia" w:ascii="方正黑体_GBK" w:hAnsi="方正黑体_GBK" w:eastAsia="方正黑体_GBK" w:cs="方正黑体_GBK"/>
          <w:i w:val="0"/>
          <w:iCs w:val="0"/>
          <w:caps w:val="0"/>
          <w:color w:val="333333"/>
          <w:spacing w:val="0"/>
          <w:sz w:val="32"/>
          <w:szCs w:val="32"/>
        </w:rPr>
      </w:pPr>
      <w:bookmarkStart w:id="0" w:name="_GoBack"/>
      <w:r>
        <w:rPr>
          <w:rFonts w:hint="eastAsia" w:ascii="方正黑体_GBK" w:hAnsi="方正黑体_GBK" w:eastAsia="方正黑体_GBK" w:cs="方正黑体_GBK"/>
          <w:i w:val="0"/>
          <w:iCs w:val="0"/>
          <w:caps w:val="0"/>
          <w:color w:val="333333"/>
          <w:spacing w:val="0"/>
          <w:sz w:val="32"/>
          <w:szCs w:val="32"/>
          <w:bdr w:val="none" w:color="auto" w:sz="0" w:space="0"/>
          <w:shd w:val="clear" w:fill="FFFFFF"/>
          <w:vertAlign w:val="baseline"/>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textAlignment w:val="baseline"/>
        <w:rPr>
          <w:rFonts w:hint="eastAsia" w:ascii="方正小标宋_GBK" w:hAnsi="方正小标宋_GBK" w:eastAsia="方正小标宋_GBK" w:cs="方正小标宋_GBK"/>
          <w:b w:val="0"/>
          <w:bCs w:val="0"/>
          <w:i w:val="0"/>
          <w:iCs w:val="0"/>
          <w:caps w:val="0"/>
          <w:color w:val="333333"/>
          <w:spacing w:val="0"/>
          <w:sz w:val="44"/>
          <w:szCs w:val="44"/>
        </w:rPr>
      </w:pPr>
      <w:r>
        <w:rPr>
          <w:rStyle w:val="5"/>
          <w:rFonts w:hint="eastAsia" w:ascii="方正小标宋_GBK" w:hAnsi="方正小标宋_GBK" w:eastAsia="方正小标宋_GBK" w:cs="方正小标宋_GBK"/>
          <w:b w:val="0"/>
          <w:bCs w:val="0"/>
          <w:i w:val="0"/>
          <w:iCs w:val="0"/>
          <w:caps w:val="0"/>
          <w:color w:val="333333"/>
          <w:spacing w:val="0"/>
          <w:sz w:val="44"/>
          <w:szCs w:val="44"/>
          <w:bdr w:val="none" w:color="auto" w:sz="0" w:space="0"/>
          <w:shd w:val="clear" w:fill="FFFFFF"/>
          <w:vertAlign w:val="baseline"/>
        </w:rPr>
        <w:t>重庆高新开发建设投资集团有限公司2024年市场化选聘重庆科技要素交易中心有限公司经营管理层人员岗位表</w:t>
      </w:r>
    </w:p>
    <w:bookmarkEnd w:id="0"/>
    <w:tbl>
      <w:tblPr>
        <w:tblW w:w="13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
      <w:tblGrid>
        <w:gridCol w:w="855"/>
        <w:gridCol w:w="720"/>
        <w:gridCol w:w="4905"/>
        <w:gridCol w:w="720"/>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jc w:val="center"/>
        </w:trPr>
        <w:tc>
          <w:tcPr>
            <w:tcW w:w="855" w:type="dxa"/>
            <w:shd w:val="clear"/>
            <w:noWrap/>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00" w:lineRule="exact"/>
              <w:jc w:val="center"/>
              <w:textAlignment w:val="baseline"/>
              <w:rPr>
                <w:rFonts w:hint="eastAsia" w:ascii="方正黑体_GBK" w:hAnsi="方正黑体_GBK" w:eastAsia="方正黑体_GBK" w:cs="方正黑体_GBK"/>
                <w:sz w:val="24"/>
                <w:szCs w:val="24"/>
              </w:rPr>
            </w:pPr>
            <w:r>
              <w:rPr>
                <w:rFonts w:hint="eastAsia" w:ascii="方正黑体_GBK" w:hAnsi="方正黑体_GBK" w:eastAsia="方正黑体_GBK" w:cs="方正黑体_GBK"/>
                <w:color w:val="333333"/>
                <w:sz w:val="24"/>
                <w:szCs w:val="24"/>
                <w:bdr w:val="none" w:color="auto" w:sz="0" w:space="0"/>
                <w:vertAlign w:val="baseline"/>
              </w:rPr>
              <w:t>序号</w:t>
            </w:r>
          </w:p>
        </w:tc>
        <w:tc>
          <w:tcPr>
            <w:tcW w:w="720" w:type="dxa"/>
            <w:shd w:val="clear"/>
            <w:noWrap/>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00" w:lineRule="exact"/>
              <w:jc w:val="center"/>
              <w:textAlignment w:val="baseline"/>
              <w:rPr>
                <w:rFonts w:hint="eastAsia" w:ascii="方正黑体_GBK" w:hAnsi="方正黑体_GBK" w:eastAsia="方正黑体_GBK" w:cs="方正黑体_GBK"/>
                <w:sz w:val="24"/>
                <w:szCs w:val="24"/>
              </w:rPr>
            </w:pPr>
            <w:r>
              <w:rPr>
                <w:rFonts w:hint="eastAsia" w:ascii="方正黑体_GBK" w:hAnsi="方正黑体_GBK" w:eastAsia="方正黑体_GBK" w:cs="方正黑体_GBK"/>
                <w:color w:val="333333"/>
                <w:sz w:val="24"/>
                <w:szCs w:val="24"/>
                <w:bdr w:val="none" w:color="auto" w:sz="0" w:space="0"/>
                <w:vertAlign w:val="baseline"/>
              </w:rPr>
              <w:t>岗位名称</w:t>
            </w:r>
          </w:p>
        </w:tc>
        <w:tc>
          <w:tcPr>
            <w:tcW w:w="4905" w:type="dxa"/>
            <w:shd w:val="clear"/>
            <w:noWrap/>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00" w:lineRule="exact"/>
              <w:jc w:val="center"/>
              <w:textAlignment w:val="baseline"/>
              <w:rPr>
                <w:rFonts w:hint="eastAsia" w:ascii="方正黑体_GBK" w:hAnsi="方正黑体_GBK" w:eastAsia="方正黑体_GBK" w:cs="方正黑体_GBK"/>
                <w:sz w:val="24"/>
                <w:szCs w:val="24"/>
              </w:rPr>
            </w:pPr>
            <w:r>
              <w:rPr>
                <w:rFonts w:hint="eastAsia" w:ascii="方正黑体_GBK" w:hAnsi="方正黑体_GBK" w:eastAsia="方正黑体_GBK" w:cs="方正黑体_GBK"/>
                <w:color w:val="333333"/>
                <w:sz w:val="24"/>
                <w:szCs w:val="24"/>
                <w:bdr w:val="none" w:color="auto" w:sz="0" w:space="0"/>
                <w:vertAlign w:val="baseline"/>
              </w:rPr>
              <w:t>岗位职责</w:t>
            </w:r>
          </w:p>
        </w:tc>
        <w:tc>
          <w:tcPr>
            <w:tcW w:w="720" w:type="dxa"/>
            <w:shd w:val="clear"/>
            <w:noWrap/>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00" w:lineRule="exact"/>
              <w:jc w:val="center"/>
              <w:textAlignment w:val="baseline"/>
              <w:rPr>
                <w:rFonts w:hint="eastAsia" w:ascii="方正黑体_GBK" w:hAnsi="方正黑体_GBK" w:eastAsia="方正黑体_GBK" w:cs="方正黑体_GBK"/>
                <w:sz w:val="24"/>
                <w:szCs w:val="24"/>
              </w:rPr>
            </w:pPr>
            <w:r>
              <w:rPr>
                <w:rFonts w:hint="eastAsia" w:ascii="方正黑体_GBK" w:hAnsi="方正黑体_GBK" w:eastAsia="方正黑体_GBK" w:cs="方正黑体_GBK"/>
                <w:color w:val="333333"/>
                <w:sz w:val="24"/>
                <w:szCs w:val="24"/>
                <w:bdr w:val="none" w:color="auto" w:sz="0" w:space="0"/>
                <w:vertAlign w:val="baseline"/>
              </w:rPr>
              <w:t>人数</w:t>
            </w:r>
          </w:p>
        </w:tc>
        <w:tc>
          <w:tcPr>
            <w:tcW w:w="6770" w:type="dxa"/>
            <w:shd w:val="clear"/>
            <w:noWrap/>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00" w:lineRule="exact"/>
              <w:jc w:val="center"/>
              <w:textAlignment w:val="baseline"/>
              <w:rPr>
                <w:rFonts w:hint="eastAsia" w:ascii="方正黑体_GBK" w:hAnsi="方正黑体_GBK" w:eastAsia="方正黑体_GBK" w:cs="方正黑体_GBK"/>
                <w:sz w:val="24"/>
                <w:szCs w:val="24"/>
              </w:rPr>
            </w:pPr>
            <w:r>
              <w:rPr>
                <w:rFonts w:hint="eastAsia" w:ascii="方正黑体_GBK" w:hAnsi="方正黑体_GBK" w:eastAsia="方正黑体_GBK" w:cs="方正黑体_GBK"/>
                <w:color w:val="333333"/>
                <w:sz w:val="24"/>
                <w:szCs w:val="24"/>
                <w:bdr w:val="none" w:color="auto" w:sz="0" w:space="0"/>
                <w:vertAlign w:val="baseline"/>
              </w:rPr>
              <w:t>任职资格条件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jc w:val="center"/>
        </w:trPr>
        <w:tc>
          <w:tcPr>
            <w:tcW w:w="855" w:type="dxa"/>
            <w:shd w:val="clear"/>
            <w:noWrap/>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00" w:lineRule="exact"/>
              <w:jc w:val="center"/>
              <w:textAlignment w:val="baseline"/>
              <w:rPr>
                <w:rFonts w:hint="eastAsia" w:ascii="方正仿宋_GBK" w:hAnsi="方正仿宋_GBK" w:eastAsia="方正仿宋_GBK" w:cs="方正仿宋_GBK"/>
              </w:rPr>
            </w:pPr>
            <w:r>
              <w:rPr>
                <w:rFonts w:hint="eastAsia" w:ascii="方正仿宋_GBK" w:hAnsi="方正仿宋_GBK" w:eastAsia="方正仿宋_GBK" w:cs="方正仿宋_GBK"/>
                <w:color w:val="333333"/>
                <w:bdr w:val="none" w:color="auto" w:sz="0" w:space="0"/>
                <w:vertAlign w:val="baseline"/>
              </w:rPr>
              <w:t>1</w:t>
            </w:r>
          </w:p>
        </w:tc>
        <w:tc>
          <w:tcPr>
            <w:tcW w:w="720" w:type="dxa"/>
            <w:shd w:val="clear"/>
            <w:noWrap/>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00" w:lineRule="exact"/>
              <w:jc w:val="center"/>
              <w:textAlignment w:val="baseline"/>
              <w:rPr>
                <w:rFonts w:hint="eastAsia" w:ascii="方正仿宋_GBK" w:hAnsi="方正仿宋_GBK" w:eastAsia="方正仿宋_GBK" w:cs="方正仿宋_GBK"/>
              </w:rPr>
            </w:pPr>
            <w:r>
              <w:rPr>
                <w:rFonts w:hint="eastAsia" w:ascii="方正仿宋_GBK" w:hAnsi="方正仿宋_GBK" w:eastAsia="方正仿宋_GBK" w:cs="方正仿宋_GBK"/>
                <w:color w:val="333333"/>
                <w:bdr w:val="none" w:color="auto" w:sz="0" w:space="0"/>
                <w:vertAlign w:val="baseline"/>
              </w:rPr>
              <w:t>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00" w:lineRule="exact"/>
              <w:jc w:val="center"/>
              <w:textAlignment w:val="baseline"/>
              <w:rPr>
                <w:rFonts w:hint="eastAsia" w:ascii="方正仿宋_GBK" w:hAnsi="方正仿宋_GBK" w:eastAsia="方正仿宋_GBK" w:cs="方正仿宋_GBK"/>
              </w:rPr>
            </w:pPr>
            <w:r>
              <w:rPr>
                <w:rFonts w:hint="eastAsia" w:ascii="方正仿宋_GBK" w:hAnsi="方正仿宋_GBK" w:eastAsia="方正仿宋_GBK" w:cs="方正仿宋_GBK"/>
                <w:color w:val="333333"/>
                <w:bdr w:val="none" w:color="auto" w:sz="0" w:space="0"/>
                <w:vertAlign w:val="baseline"/>
              </w:rPr>
              <w:t>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00" w:lineRule="exact"/>
              <w:jc w:val="center"/>
              <w:textAlignment w:val="baseline"/>
              <w:rPr>
                <w:rFonts w:hint="eastAsia" w:ascii="方正仿宋_GBK" w:hAnsi="方正仿宋_GBK" w:eastAsia="方正仿宋_GBK" w:cs="方正仿宋_GBK"/>
              </w:rPr>
            </w:pPr>
            <w:r>
              <w:rPr>
                <w:rFonts w:hint="eastAsia" w:ascii="方正仿宋_GBK" w:hAnsi="方正仿宋_GBK" w:eastAsia="方正仿宋_GBK" w:cs="方正仿宋_GBK"/>
                <w:color w:val="333333"/>
                <w:bdr w:val="none" w:color="auto" w:sz="0" w:space="0"/>
                <w:vertAlign w:val="baseline"/>
              </w:rPr>
              <w:t>理</w:t>
            </w:r>
          </w:p>
        </w:tc>
        <w:tc>
          <w:tcPr>
            <w:tcW w:w="4905" w:type="dxa"/>
            <w:shd w:val="clear"/>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00" w:lineRule="exact"/>
              <w:jc w:val="both"/>
              <w:textAlignment w:val="baseline"/>
              <w:rPr>
                <w:rFonts w:hint="eastAsia" w:ascii="方正仿宋_GBK" w:hAnsi="方正仿宋_GBK" w:eastAsia="方正仿宋_GBK" w:cs="方正仿宋_GBK"/>
              </w:rPr>
            </w:pPr>
            <w:r>
              <w:rPr>
                <w:rFonts w:hint="eastAsia" w:ascii="方正仿宋_GBK" w:hAnsi="方正仿宋_GBK" w:eastAsia="方正仿宋_GBK" w:cs="方正仿宋_GBK"/>
                <w:color w:val="333333"/>
                <w:bdr w:val="none" w:color="auto" w:sz="0" w:space="0"/>
                <w:vertAlign w:val="baseline"/>
              </w:rPr>
              <w:t>1.全面负责科技要素交易中心搭建和日常运营（包括但不限于市场推广、品牌运营、团队运营等）；</w:t>
            </w:r>
            <w:r>
              <w:rPr>
                <w:rFonts w:hint="eastAsia" w:ascii="方正仿宋_GBK" w:hAnsi="方正仿宋_GBK" w:eastAsia="方正仿宋_GBK" w:cs="方正仿宋_GBK"/>
                <w:color w:val="333333"/>
                <w:bdr w:val="none" w:color="auto" w:sz="0" w:space="0"/>
                <w:vertAlign w:val="baseline"/>
              </w:rPr>
              <w:br w:type="textWrapping"/>
            </w:r>
            <w:r>
              <w:rPr>
                <w:rFonts w:hint="eastAsia" w:ascii="方正仿宋_GBK" w:hAnsi="方正仿宋_GBK" w:eastAsia="方正仿宋_GBK" w:cs="方正仿宋_GBK"/>
                <w:color w:val="333333"/>
                <w:bdr w:val="none" w:color="auto" w:sz="0" w:space="0"/>
                <w:vertAlign w:val="baseline"/>
              </w:rPr>
              <w:t>2.做好公司战略规划、目标分解、经营管理等公司运营管理工作，研究公司发展中的业务发展方向和重大管理问题，并做出有效的管控措施；</w:t>
            </w:r>
            <w:r>
              <w:rPr>
                <w:rFonts w:hint="eastAsia" w:ascii="方正仿宋_GBK" w:hAnsi="方正仿宋_GBK" w:eastAsia="方正仿宋_GBK" w:cs="方正仿宋_GBK"/>
                <w:color w:val="333333"/>
                <w:bdr w:val="none" w:color="auto" w:sz="0" w:space="0"/>
                <w:vertAlign w:val="baseline"/>
              </w:rPr>
              <w:br w:type="textWrapping"/>
            </w:r>
            <w:r>
              <w:rPr>
                <w:rFonts w:hint="eastAsia" w:ascii="方正仿宋_GBK" w:hAnsi="方正仿宋_GBK" w:eastAsia="方正仿宋_GBK" w:cs="方正仿宋_GBK"/>
                <w:color w:val="333333"/>
                <w:bdr w:val="none" w:color="auto" w:sz="0" w:space="0"/>
                <w:vertAlign w:val="baseline"/>
              </w:rPr>
              <w:t>3.根据公司政策与制度，负责科技要素条线成员评估考核，中高层干部的选拔任用和基层核心人才选拔培养，构建核心营销团队；</w:t>
            </w:r>
            <w:r>
              <w:rPr>
                <w:rFonts w:hint="eastAsia" w:ascii="方正仿宋_GBK" w:hAnsi="方正仿宋_GBK" w:eastAsia="方正仿宋_GBK" w:cs="方正仿宋_GBK"/>
                <w:color w:val="333333"/>
                <w:bdr w:val="none" w:color="auto" w:sz="0" w:space="0"/>
                <w:vertAlign w:val="baseline"/>
              </w:rPr>
              <w:br w:type="textWrapping"/>
            </w:r>
            <w:r>
              <w:rPr>
                <w:rFonts w:hint="eastAsia" w:ascii="方正仿宋_GBK" w:hAnsi="方正仿宋_GBK" w:eastAsia="方正仿宋_GBK" w:cs="方正仿宋_GBK"/>
                <w:color w:val="333333"/>
                <w:bdr w:val="none" w:color="auto" w:sz="0" w:space="0"/>
                <w:vertAlign w:val="baseline"/>
              </w:rPr>
              <w:t>4.根据公司业务品种推广需要，制定营销方案并负责实施，将科素交易的两端引流至交易中心平台；建立和维护公司重要客户的合作关系，负责客户或特定对象的营销和公关；</w:t>
            </w:r>
            <w:r>
              <w:rPr>
                <w:rFonts w:hint="eastAsia" w:ascii="方正仿宋_GBK" w:hAnsi="方正仿宋_GBK" w:eastAsia="方正仿宋_GBK" w:cs="方正仿宋_GBK"/>
                <w:color w:val="333333"/>
                <w:bdr w:val="none" w:color="auto" w:sz="0" w:space="0"/>
                <w:vertAlign w:val="baseline"/>
              </w:rPr>
              <w:br w:type="textWrapping"/>
            </w:r>
            <w:r>
              <w:rPr>
                <w:rFonts w:hint="eastAsia" w:ascii="方正仿宋_GBK" w:hAnsi="方正仿宋_GBK" w:eastAsia="方正仿宋_GBK" w:cs="方正仿宋_GBK"/>
                <w:color w:val="333333"/>
                <w:bdr w:val="none" w:color="auto" w:sz="0" w:space="0"/>
                <w:vertAlign w:val="baseline"/>
              </w:rPr>
              <w:t>5.参与制定公司业务品种的业务计划，并负责管理推进；</w:t>
            </w:r>
            <w:r>
              <w:rPr>
                <w:rFonts w:hint="eastAsia" w:ascii="方正仿宋_GBK" w:hAnsi="方正仿宋_GBK" w:eastAsia="方正仿宋_GBK" w:cs="方正仿宋_GBK"/>
                <w:color w:val="333333"/>
                <w:bdr w:val="none" w:color="auto" w:sz="0" w:space="0"/>
                <w:vertAlign w:val="baseline"/>
              </w:rPr>
              <w:br w:type="textWrapping"/>
            </w:r>
            <w:r>
              <w:rPr>
                <w:rFonts w:hint="eastAsia" w:ascii="方正仿宋_GBK" w:hAnsi="方正仿宋_GBK" w:eastAsia="方正仿宋_GBK" w:cs="方正仿宋_GBK"/>
                <w:color w:val="333333"/>
                <w:bdr w:val="none" w:color="auto" w:sz="0" w:space="0"/>
                <w:vertAlign w:val="baseline"/>
              </w:rPr>
              <w:t>6.推进企业文化建设，做好廉洁从业、国家安全、意识形态、信访维稳（接诉即办）、安全生产等管理工作；</w:t>
            </w:r>
            <w:r>
              <w:rPr>
                <w:rFonts w:hint="eastAsia" w:ascii="方正仿宋_GBK" w:hAnsi="方正仿宋_GBK" w:eastAsia="方正仿宋_GBK" w:cs="方正仿宋_GBK"/>
                <w:color w:val="333333"/>
                <w:bdr w:val="none" w:color="auto" w:sz="0" w:space="0"/>
                <w:vertAlign w:val="baseline"/>
              </w:rPr>
              <w:br w:type="textWrapping"/>
            </w:r>
            <w:r>
              <w:rPr>
                <w:rFonts w:hint="eastAsia" w:ascii="方正仿宋_GBK" w:hAnsi="方正仿宋_GBK" w:eastAsia="方正仿宋_GBK" w:cs="方正仿宋_GBK"/>
                <w:color w:val="333333"/>
                <w:bdr w:val="none" w:color="auto" w:sz="0" w:space="0"/>
                <w:vertAlign w:val="baseline"/>
              </w:rPr>
              <w:t>7.根据市场变化，创新设计或调整公司业务操作模式；</w:t>
            </w:r>
            <w:r>
              <w:rPr>
                <w:rFonts w:hint="eastAsia" w:ascii="方正仿宋_GBK" w:hAnsi="方正仿宋_GBK" w:eastAsia="方正仿宋_GBK" w:cs="方正仿宋_GBK"/>
                <w:color w:val="333333"/>
                <w:bdr w:val="none" w:color="auto" w:sz="0" w:space="0"/>
                <w:vertAlign w:val="baseline"/>
              </w:rPr>
              <w:br w:type="textWrapping"/>
            </w:r>
            <w:r>
              <w:rPr>
                <w:rFonts w:hint="eastAsia" w:ascii="方正仿宋_GBK" w:hAnsi="方正仿宋_GBK" w:eastAsia="方正仿宋_GBK" w:cs="方正仿宋_GBK"/>
                <w:color w:val="333333"/>
                <w:bdr w:val="none" w:color="auto" w:sz="0" w:space="0"/>
                <w:vertAlign w:val="baseline"/>
              </w:rPr>
              <w:t>8.完成上级单位交办的其他工作。</w:t>
            </w:r>
          </w:p>
        </w:tc>
        <w:tc>
          <w:tcPr>
            <w:tcW w:w="720" w:type="dxa"/>
            <w:shd w:val="clear"/>
            <w:noWrap/>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00" w:lineRule="exact"/>
              <w:jc w:val="center"/>
              <w:textAlignment w:val="baseline"/>
              <w:rPr>
                <w:rFonts w:hint="eastAsia" w:ascii="方正仿宋_GBK" w:hAnsi="方正仿宋_GBK" w:eastAsia="方正仿宋_GBK" w:cs="方正仿宋_GBK"/>
              </w:rPr>
            </w:pPr>
            <w:r>
              <w:rPr>
                <w:rFonts w:hint="eastAsia" w:ascii="方正仿宋_GBK" w:hAnsi="方正仿宋_GBK" w:eastAsia="方正仿宋_GBK" w:cs="方正仿宋_GBK"/>
                <w:color w:val="333333"/>
                <w:bdr w:val="none" w:color="auto" w:sz="0" w:space="0"/>
                <w:vertAlign w:val="baseline"/>
              </w:rPr>
              <w:t>1</w:t>
            </w:r>
          </w:p>
        </w:tc>
        <w:tc>
          <w:tcPr>
            <w:tcW w:w="6770" w:type="dxa"/>
            <w:shd w:val="clear"/>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00" w:lineRule="exact"/>
              <w:jc w:val="both"/>
              <w:textAlignment w:val="baseline"/>
              <w:rPr>
                <w:rFonts w:hint="eastAsia" w:ascii="方正仿宋_GBK" w:hAnsi="方正仿宋_GBK" w:eastAsia="方正仿宋_GBK" w:cs="方正仿宋_GBK"/>
              </w:rPr>
            </w:pPr>
            <w:r>
              <w:rPr>
                <w:rFonts w:hint="eastAsia" w:ascii="方正仿宋_GBK" w:hAnsi="方正仿宋_GBK" w:eastAsia="方正仿宋_GBK" w:cs="方正仿宋_GBK"/>
                <w:color w:val="333333"/>
                <w:bdr w:val="none" w:color="auto" w:sz="0" w:space="0"/>
                <w:vertAlign w:val="baseline"/>
              </w:rPr>
              <w:t>1.全日制普通高校硕士研究生及以上学历或第二轮“双一流”建设高校（不含其二本、三本类二级学院）、QS发布的最新世界大学排名500位高校（不含其二级学院）、重庆市7所市属重点高校和2所军队院校全日制本科及以上学历；</w:t>
            </w:r>
            <w:r>
              <w:rPr>
                <w:rFonts w:hint="eastAsia" w:ascii="方正仿宋_GBK" w:hAnsi="方正仿宋_GBK" w:eastAsia="方正仿宋_GBK" w:cs="方正仿宋_GBK"/>
                <w:color w:val="333333"/>
                <w:bdr w:val="none" w:color="auto" w:sz="0" w:space="0"/>
                <w:vertAlign w:val="baseline"/>
              </w:rPr>
              <w:br w:type="textWrapping"/>
            </w:r>
            <w:r>
              <w:rPr>
                <w:rFonts w:hint="eastAsia" w:ascii="方正仿宋_GBK" w:hAnsi="方正仿宋_GBK" w:eastAsia="方正仿宋_GBK" w:cs="方正仿宋_GBK"/>
                <w:color w:val="333333"/>
                <w:bdr w:val="none" w:color="auto" w:sz="0" w:space="0"/>
                <w:vertAlign w:val="baseline"/>
              </w:rPr>
              <w:t>2.35周岁及以下，全日制普通高校博士研究生可放宽至40周岁及以下，中共党员优先；</w:t>
            </w:r>
            <w:r>
              <w:rPr>
                <w:rFonts w:hint="eastAsia" w:ascii="方正仿宋_GBK" w:hAnsi="方正仿宋_GBK" w:eastAsia="方正仿宋_GBK" w:cs="方正仿宋_GBK"/>
                <w:color w:val="333333"/>
                <w:bdr w:val="none" w:color="auto" w:sz="0" w:space="0"/>
                <w:vertAlign w:val="baseline"/>
              </w:rPr>
              <w:br w:type="textWrapping"/>
            </w:r>
            <w:r>
              <w:rPr>
                <w:rFonts w:hint="eastAsia" w:ascii="方正仿宋_GBK" w:hAnsi="方正仿宋_GBK" w:eastAsia="方正仿宋_GBK" w:cs="方正仿宋_GBK"/>
                <w:color w:val="333333"/>
                <w:bdr w:val="none" w:color="auto" w:sz="0" w:space="0"/>
                <w:vertAlign w:val="baseline"/>
              </w:rPr>
              <w:t>3.金融学类、经济学类、法学类、工商管理类相关专业，持有特许金融分析师证书者优先；</w:t>
            </w:r>
            <w:r>
              <w:rPr>
                <w:rFonts w:hint="eastAsia" w:ascii="方正仿宋_GBK" w:hAnsi="方正仿宋_GBK" w:eastAsia="方正仿宋_GBK" w:cs="方正仿宋_GBK"/>
                <w:color w:val="333333"/>
                <w:bdr w:val="none" w:color="auto" w:sz="0" w:space="0"/>
                <w:vertAlign w:val="baseline"/>
              </w:rPr>
              <w:br w:type="textWrapping"/>
            </w:r>
            <w:r>
              <w:rPr>
                <w:rFonts w:hint="eastAsia" w:ascii="方正仿宋_GBK" w:hAnsi="方正仿宋_GBK" w:eastAsia="方正仿宋_GBK" w:cs="方正仿宋_GBK"/>
                <w:color w:val="333333"/>
                <w:bdr w:val="none" w:color="auto" w:sz="0" w:space="0"/>
                <w:vertAlign w:val="baseline"/>
              </w:rPr>
              <w:t>4.须具有3年以上交易场所或5年以上金融、经济、法律、会计、信息技术行业及交易场所业务相关行业工作经验，并具有2年以上交易场所部门负责人及以上职务或4年以上金融机构部门负责人以上职务或具有相当职位管理工作经历；</w:t>
            </w:r>
            <w:r>
              <w:rPr>
                <w:rFonts w:hint="eastAsia" w:ascii="方正仿宋_GBK" w:hAnsi="方正仿宋_GBK" w:eastAsia="方正仿宋_GBK" w:cs="方正仿宋_GBK"/>
                <w:color w:val="333333"/>
                <w:bdr w:val="none" w:color="auto" w:sz="0" w:space="0"/>
                <w:vertAlign w:val="baseline"/>
              </w:rPr>
              <w:br w:type="textWrapping"/>
            </w:r>
            <w:r>
              <w:rPr>
                <w:rFonts w:hint="eastAsia" w:ascii="方正仿宋_GBK" w:hAnsi="方正仿宋_GBK" w:eastAsia="方正仿宋_GBK" w:cs="方正仿宋_GBK"/>
                <w:color w:val="333333"/>
                <w:bdr w:val="none" w:color="auto" w:sz="0" w:space="0"/>
                <w:vertAlign w:val="baseline"/>
              </w:rPr>
              <w:t>5.具备以下履职能力：</w:t>
            </w:r>
            <w:r>
              <w:rPr>
                <w:rFonts w:hint="eastAsia" w:ascii="方正仿宋_GBK" w:hAnsi="方正仿宋_GBK" w:eastAsia="方正仿宋_GBK" w:cs="方正仿宋_GBK"/>
                <w:color w:val="333333"/>
                <w:bdr w:val="none" w:color="auto" w:sz="0" w:space="0"/>
                <w:vertAlign w:val="baseline"/>
              </w:rPr>
              <w:br w:type="textWrapping"/>
            </w:r>
            <w:r>
              <w:rPr>
                <w:rFonts w:hint="eastAsia" w:ascii="方正仿宋_GBK" w:hAnsi="方正仿宋_GBK" w:eastAsia="方正仿宋_GBK" w:cs="方正仿宋_GBK"/>
                <w:color w:val="333333"/>
                <w:bdr w:val="none" w:color="auto" w:sz="0" w:space="0"/>
                <w:vertAlign w:val="baseline"/>
              </w:rPr>
              <w:t>（1）战略规划能力：具有高度的责任感、敬业态度和创新思维、洞察能力、应变能力，对公司的发展方向和目标清晰且能有效贯彻执行落地；</w:t>
            </w:r>
            <w:r>
              <w:rPr>
                <w:rFonts w:hint="eastAsia" w:ascii="方正仿宋_GBK" w:hAnsi="方正仿宋_GBK" w:eastAsia="方正仿宋_GBK" w:cs="方正仿宋_GBK"/>
                <w:color w:val="333333"/>
                <w:bdr w:val="none" w:color="auto" w:sz="0" w:space="0"/>
                <w:vertAlign w:val="baseline"/>
              </w:rPr>
              <w:br w:type="textWrapping"/>
            </w:r>
            <w:r>
              <w:rPr>
                <w:rFonts w:hint="eastAsia" w:ascii="方正仿宋_GBK" w:hAnsi="方正仿宋_GBK" w:eastAsia="方正仿宋_GBK" w:cs="方正仿宋_GBK"/>
                <w:color w:val="333333"/>
                <w:bdr w:val="none" w:color="auto" w:sz="0" w:space="0"/>
                <w:vertAlign w:val="baseline"/>
              </w:rPr>
              <w:t>（2）公司管理能力：能按照现代企业管理制度不断完善公司的治理体系，畅通三会一层之间的磋商沟通机制，提高公司治理能力和水平；</w:t>
            </w:r>
            <w:r>
              <w:rPr>
                <w:rFonts w:hint="eastAsia" w:ascii="方正仿宋_GBK" w:hAnsi="方正仿宋_GBK" w:eastAsia="方正仿宋_GBK" w:cs="方正仿宋_GBK"/>
                <w:color w:val="333333"/>
                <w:bdr w:val="none" w:color="auto" w:sz="0" w:space="0"/>
                <w:vertAlign w:val="baseline"/>
              </w:rPr>
              <w:br w:type="textWrapping"/>
            </w:r>
            <w:r>
              <w:rPr>
                <w:rFonts w:hint="eastAsia" w:ascii="方正仿宋_GBK" w:hAnsi="方正仿宋_GBK" w:eastAsia="方正仿宋_GBK" w:cs="方正仿宋_GBK"/>
                <w:color w:val="333333"/>
                <w:bdr w:val="none" w:color="auto" w:sz="0" w:space="0"/>
                <w:vertAlign w:val="baseline"/>
              </w:rPr>
              <w:t>（3）经营管理能力：具备专业知识储备和丰富的经营管理经验，曾牵头过重要项目，能有效提升公司经营绩效；</w:t>
            </w:r>
            <w:r>
              <w:rPr>
                <w:rFonts w:hint="eastAsia" w:ascii="方正仿宋_GBK" w:hAnsi="方正仿宋_GBK" w:eastAsia="方正仿宋_GBK" w:cs="方正仿宋_GBK"/>
                <w:color w:val="333333"/>
                <w:bdr w:val="none" w:color="auto" w:sz="0" w:space="0"/>
                <w:vertAlign w:val="baseline"/>
              </w:rPr>
              <w:br w:type="textWrapping"/>
            </w:r>
            <w:r>
              <w:rPr>
                <w:rFonts w:hint="eastAsia" w:ascii="方正仿宋_GBK" w:hAnsi="方正仿宋_GBK" w:eastAsia="方正仿宋_GBK" w:cs="方正仿宋_GBK"/>
                <w:color w:val="333333"/>
                <w:bdr w:val="none" w:color="auto" w:sz="0" w:space="0"/>
                <w:vertAlign w:val="baseline"/>
              </w:rPr>
              <w:t>（4）组织管理能力：具备知人善任和团队领导能力，带领班子团结协作，能组织团队攻克急难险重问题或重要项目；</w:t>
            </w:r>
            <w:r>
              <w:rPr>
                <w:rFonts w:hint="eastAsia" w:ascii="方正仿宋_GBK" w:hAnsi="方正仿宋_GBK" w:eastAsia="方正仿宋_GBK" w:cs="方正仿宋_GBK"/>
                <w:color w:val="333333"/>
                <w:bdr w:val="none" w:color="auto" w:sz="0" w:space="0"/>
                <w:vertAlign w:val="baseline"/>
              </w:rPr>
              <w:br w:type="textWrapping"/>
            </w:r>
            <w:r>
              <w:rPr>
                <w:rFonts w:hint="eastAsia" w:ascii="方正仿宋_GBK" w:hAnsi="方正仿宋_GBK" w:eastAsia="方正仿宋_GBK" w:cs="方正仿宋_GBK"/>
                <w:color w:val="333333"/>
                <w:bdr w:val="none" w:color="auto" w:sz="0" w:space="0"/>
                <w:vertAlign w:val="baseline"/>
              </w:rPr>
              <w:t>（5）合规管理能力：具有较强的合规经营意识和能力，能够遵守法律法规和监管规定，规范企业和员工行为，提高企业管理水平和员工管理水平，促进企业稳健经营运行；</w:t>
            </w:r>
            <w:r>
              <w:rPr>
                <w:rFonts w:hint="eastAsia" w:ascii="方正仿宋_GBK" w:hAnsi="方正仿宋_GBK" w:eastAsia="方正仿宋_GBK" w:cs="方正仿宋_GBK"/>
                <w:color w:val="333333"/>
                <w:bdr w:val="none" w:color="auto" w:sz="0" w:space="0"/>
                <w:vertAlign w:val="baseline"/>
              </w:rPr>
              <w:br w:type="textWrapping"/>
            </w:r>
            <w:r>
              <w:rPr>
                <w:rFonts w:hint="eastAsia" w:ascii="方正仿宋_GBK" w:hAnsi="方正仿宋_GBK" w:eastAsia="方正仿宋_GBK" w:cs="方正仿宋_GBK"/>
                <w:color w:val="333333"/>
                <w:bdr w:val="none" w:color="auto" w:sz="0" w:space="0"/>
                <w:vertAlign w:val="baseline"/>
              </w:rPr>
              <w:t>（6）风险管理能力：具有较强的风险管理意识和能力，建立健全公司风险控制体系和制度，及时识别、防范、处置风险。</w:t>
            </w:r>
          </w:p>
        </w:tc>
      </w:tr>
    </w:tbl>
    <w:p>
      <w:pPr>
        <w:keepNext w:val="0"/>
        <w:keepLines w:val="0"/>
        <w:pageBreakBefore w:val="0"/>
        <w:kinsoku/>
        <w:overflowPunct/>
        <w:topLinePunct w:val="0"/>
        <w:autoSpaceDE/>
        <w:autoSpaceDN/>
        <w:bidi w:val="0"/>
        <w:adjustRightInd/>
        <w:snapToGrid/>
        <w:spacing w:beforeAutospacing="0" w:afterAutospacing="0" w:line="400" w:lineRule="exact"/>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xNjZiOWE1ODNlNzU5YTRhMzJiNWU4MTkwZGQyZDAifQ=="/>
  </w:docVars>
  <w:rsids>
    <w:rsidRoot w:val="472D6C43"/>
    <w:rsid w:val="472D6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3</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2024-06-05T08:53:00Z</dcterms:created>
  <dc:creator>释水</dc:creator>
  <cp:lastModifiedBy>释水</cp:lastModifiedBy>
  <dcterms:modified xsi:type="dcterms:W3CDTF">2024-06-05T08:56:50Z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D80B150ADF464263BA920D5EB62BEE4E_11</vt:lpwstr>
  </property>
</Properties>
</file>